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69f81ef32a4170"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PTM_CutePDF_x86</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PTM_CutePDF_x86</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25a06c182f2944b3">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C:\Content\PTM_CutePDF_x86\PTM_CutePDF_x86.appv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0.0.0.1</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93ce629d-99cb-40b5-acfa-d210a6f55301</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0ac7096e-67fd-40d0-9b51-b90fa81062bf</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C:\82443afc-151f-4843-a249-48afb8b20180</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 Date</w:t>
            </w:r>
          </w:p>
        </w:tc>
        <w:tc>
          <w:tcPr>
            <w:tcW w:w="3500" w:type="dxa"/>
          </w:tcPr>
          <w:p>
            <w:pPr>
              <w:pStyle w:val="TMurgentNormal"/>
            </w:pPr>
            <w:r>
              <w:rPr>
                <w:rStyle w:val="TMurgentNormal"/>
              </w:rPr>
              <w:t>2015-02-23T15:16:35.593847Z</w:t>
            </w:r>
          </w:p>
        </w:tc>
      </w:tr>
      <w:tr>
        <w:trPr/>
        <w:tc>
          <w:tcPr>
            <w:tcW w:w="500" w:type="dxa"/>
          </w:tcPr>
          <w:p>
            <w:pPr>
              <w:pStyle w:val="TMurgentNormal"/>
            </w:pPr>
            <w:r>
              <w:rPr>
                <w:rStyle w:val="TMurgentNormal"/>
              </w:rPr>
              <w:t>1</w:t>
            </w:r>
          </w:p>
        </w:tc>
        <w:tc>
          <w:tcPr>
            <w:tcW w:w="2000" w:type="dxa"/>
          </w:tcPr>
          <w:p>
            <w:pPr>
              <w:pStyle w:val="TMurgentNormal"/>
            </w:pPr>
            <w:r>
              <w:rPr>
                <w:rStyle w:val="TMurgentNormal"/>
              </w:rPr>
              <w:t>Was Upgrade?</w:t>
            </w:r>
          </w:p>
        </w:tc>
        <w:tc>
          <w:tcPr>
            <w:tcW w:w="3500" w:type="dxa"/>
          </w:tcPr>
          <w:p>
            <w:pPr>
              <w:pStyle w:val="TMurgentNormal"/>
            </w:pPr>
            <w:r>
              <w:rPr>
                <w:rStyle w:val="TMurgentNormal"/>
              </w:rPr>
              <w:t>false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User</w:t>
            </w:r>
          </w:p>
        </w:tc>
        <w:tc>
          <w:tcPr>
            <w:tcW w:w="3500" w:type="dxa"/>
          </w:tcPr>
          <w:p>
            <w:pPr>
              <w:pStyle w:val="TMurgentNormal"/>
            </w:pPr>
            <w:r>
              <w:rPr>
                <w:rStyle w:val="TMurgentNormal"/>
              </w:rPr>
              <w:t>TMU\Admin001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SEQW71X861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5.0.10107.0</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OS Bitness</w:t>
            </w:r>
          </w:p>
        </w:tc>
        <w:tc>
          <w:tcPr>
            <w:tcW w:w="3500" w:type="dxa"/>
          </w:tcPr>
          <w:p>
            <w:pPr>
              <w:pStyle w:val="TMurgentNormal"/>
            </w:pPr>
            <w:r>
              <w:rPr>
                <w:rStyle w:val="TMurgentNormal"/>
              </w:rPr>
              <w:t>32</w:t>
            </w:r>
          </w:p>
        </w:tc>
      </w:tr>
      <w:tr>
        <w:trPr/>
        <w:tc>
          <w:tcPr>
            <w:tcW w:w="500" w:type="dxa"/>
          </w:tcPr>
          <w:p>
            <w:pPr>
              <w:pStyle w:val="TMurgentNormal"/>
            </w:pPr>
            <w:r>
              <w:rPr>
                <w:rStyle w:val="TMurgentNormal"/>
              </w:rPr>
              <w:t>1</w:t>
            </w:r>
          </w:p>
        </w:tc>
        <w:tc>
          <w:tcPr>
            <w:tcW w:w="2000" w:type="dxa"/>
          </w:tcPr>
          <w:p>
            <w:pPr>
              <w:pStyle w:val="TMurgentNormal"/>
            </w:pPr>
            <w:r>
              <w:rPr>
                <w:rStyle w:val="TMurgentNormal"/>
              </w:rPr>
              <w:t>.Net Version</w:t>
            </w:r>
          </w:p>
        </w:tc>
        <w:tc>
          <w:tcPr>
            <w:tcW w:w="3500" w:type="dxa"/>
          </w:tcPr>
          <w:p>
            <w:pPr>
              <w:pStyle w:val="TMurgentNormal"/>
            </w:pPr>
            <w:r>
              <w:rPr>
                <w:rStyle w:val="TMurgentNormal"/>
              </w:rPr>
              <w:t>4.0.30319.34209</w:t>
            </w:r>
          </w:p>
        </w:tc>
      </w:tr>
      <w:tr>
        <w:trPr/>
        <w:tc>
          <w:tcPr>
            <w:tcW w:w="500" w:type="dxa"/>
          </w:tcPr>
          <w:p>
            <w:pPr>
              <w:pStyle w:val="TMurgentNormal"/>
            </w:pPr>
            <w:r>
              <w:rPr>
                <w:rStyle w:val="TMurgentNormal"/>
              </w:rPr>
              <w:t>1</w:t>
            </w:r>
          </w:p>
        </w:tc>
        <w:tc>
          <w:tcPr>
            <w:tcW w:w="2000" w:type="dxa"/>
          </w:tcPr>
          <w:p>
            <w:pPr>
              <w:pStyle w:val="TMurgentNormal"/>
            </w:pPr>
            <w:r>
              <w:rPr>
                <w:rStyle w:val="TMurgentNormal"/>
              </w:rPr>
              <w:t>IE Version</w:t>
            </w:r>
          </w:p>
        </w:tc>
        <w:tc>
          <w:tcPr>
            <w:tcW w:w="3500" w:type="dxa"/>
          </w:tcPr>
          <w:p>
            <w:pPr>
              <w:pStyle w:val="TMurgentNormal"/>
            </w:pPr>
            <w:r>
              <w:rPr>
                <w:rStyle w:val="TMurgentNormal"/>
              </w:rPr>
              <w:t>8.0.7601.17514</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Locale</w:t>
            </w:r>
          </w:p>
        </w:tc>
        <w:tc>
          <w:tcPr>
            <w:tcW w:w="3500" w:type="dxa"/>
          </w:tcPr>
          <w:p>
            <w:pPr>
              <w:pStyle w:val="TMurgentNormal"/>
            </w:pPr>
            <w:r>
              <w:rPr>
                <w:rStyle w:val="TMurgentNormal"/>
              </w:rPr>
              <w:t>en-US</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x86/x64 Clients allowed</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Isolated</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Isolate All, except standard exceptions</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false</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Not specified (only set in Office2013)</w:t>
            </w:r>
          </w:p>
        </w:tc>
      </w:tr>
    </w:tbl>
    <w:p>
      <w:pPr>
        <w:pStyle w:val="TMurgentNormal"/>
      </w:pPr>
      <w:r>
        <w:rPr>
          <w:rStyle w:val="TMurgentNormal"/>
        </w:rPr>
        <w:t>About COM Mode: The virtual COM server is enabled, and GUID spoofing is performed. Publishing of COM objects (except when also part of certain Extensions) to the native registry is not performed. Items published due to Extensions will be available outside the virtual environment, and the others are only available inside the virtual environment. </w:t>
      </w:r>
    </w:p>
    <w:p>
      <w:pPr>
        <w:pStyle w:val="TMurgentNormal"/>
      </w:pPr>
      <w:r>
        <w:rPr>
          <w:rStyle w:val="TMurgentNormal"/>
        </w:rPr>
        <w:t>About Kernel Objects: Named kernel object renaming (spoofing) is enabled except for registered exceptions. This default setting solves some multi-instance, multi-user, and multi-tenant issues. This may lead to integration issues with other software outside of the virtual environment, but this is quite rare.</w:t>
      </w:r>
    </w:p>
    <w:p>
      <w:pPr>
        <w:pStyle w:val="TMurgentNormal"/>
      </w:pPr>
      <w:r>
        <w:rPr>
          <w:rStyle w:val="TMurgentNormal"/>
        </w:rPr>
        <w:t>About VFS Write Mode: This advanced setting allows the user to overwrite non-binary files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6,927,446</w:t>
            </w:r>
          </w:p>
        </w:tc>
        <w:tc>
          <w:tcPr>
            <w:tcW w:w="900" w:type="dxa"/>
          </w:tcPr>
          <w:p>
            <w:pPr>
              <w:pStyle w:val="TMurgentNormal"/>
            </w:pPr>
            <w:r>
              <w:rPr>
                <w:rStyle w:val="TMurgentNormal"/>
              </w:rPr>
              <w:t>12,718,377</w:t>
            </w:r>
          </w:p>
        </w:tc>
        <w:tc>
          <w:tcPr>
            <w:tcW w:w="1500" w:type="dxa"/>
          </w:tcPr>
          <w:p>
            <w:pPr>
              <w:pStyle w:val="TMurgentNormal"/>
            </w:pPr>
            <w:r>
              <w:rPr>
                <w:rStyle w:val="TMurgentNormal"/>
              </w:rPr>
              <w:t>1.84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26,369</w:t>
            </w:r>
          </w:p>
        </w:tc>
        <w:tc>
          <w:tcPr>
            <w:tcW w:w="900" w:type="dxa"/>
          </w:tcPr>
          <w:p>
            <w:pPr>
              <w:pStyle w:val="TMurgentNormal"/>
            </w:pPr>
            <w:r>
              <w:rPr>
                <w:rStyle w:val="TMurgentNormal"/>
              </w:rPr>
              <w:t>26,369</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17,424</w:t>
            </w:r>
          </w:p>
        </w:tc>
        <w:tc>
          <w:tcPr>
            <w:tcW w:w="900" w:type="dxa"/>
          </w:tcPr>
          <w:p>
            <w:pPr>
              <w:pStyle w:val="TMurgentNormal"/>
            </w:pPr>
            <w:r>
              <w:rPr>
                <w:rStyle w:val="TMurgentNormal"/>
              </w:rPr>
              <w:t>46,921</w:t>
            </w:r>
          </w:p>
        </w:tc>
        <w:tc>
          <w:tcPr>
            <w:tcW w:w="1500" w:type="dxa"/>
          </w:tcPr>
          <w:p>
            <w:pPr>
              <w:pStyle w:val="TMurgentNormal"/>
            </w:pPr>
            <w:r>
              <w:rPr>
                <w:rStyle w:val="TMurgentNormal"/>
              </w:rPr>
              <w:t>2.69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177</w:t>
            </w:r>
          </w:p>
        </w:tc>
        <w:tc>
          <w:tcPr>
            <w:tcW w:w="900" w:type="dxa"/>
          </w:tcPr>
          <w:p>
            <w:pPr>
              <w:pStyle w:val="TMurgentNormal"/>
            </w:pPr>
            <w:r>
              <w:rPr>
                <w:rStyle w:val="TMurgentNormal"/>
              </w:rPr>
              <w:t>229</w:t>
            </w:r>
          </w:p>
        </w:tc>
        <w:tc>
          <w:tcPr>
            <w:tcW w:w="1500" w:type="dxa"/>
          </w:tcPr>
          <w:p>
            <w:pPr>
              <w:pStyle w:val="TMurgentNormal"/>
            </w:pPr>
            <w:r>
              <w:rPr>
                <w:rStyle w:val="TMurgentNormal"/>
              </w:rPr>
              <w:t>1.29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1,771</w:t>
            </w:r>
          </w:p>
        </w:tc>
        <w:tc>
          <w:tcPr>
            <w:tcW w:w="900" w:type="dxa"/>
          </w:tcPr>
          <w:p>
            <w:pPr>
              <w:pStyle w:val="TMurgentNormal"/>
            </w:pPr>
            <w:r>
              <w:rPr>
                <w:rStyle w:val="TMurgentNormal"/>
              </w:rPr>
              <w:t>37,383</w:t>
            </w:r>
          </w:p>
        </w:tc>
        <w:tc>
          <w:tcPr>
            <w:tcW w:w="1500" w:type="dxa"/>
          </w:tcPr>
          <w:p>
            <w:pPr>
              <w:pStyle w:val="TMurgentNormal"/>
            </w:pPr>
            <w:r>
              <w:rPr>
                <w:rStyle w:val="TMurgentNormal"/>
              </w:rPr>
              <w:t>21.11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2,031</w:t>
            </w:r>
          </w:p>
        </w:tc>
        <w:tc>
          <w:tcPr>
            <w:tcW w:type="auto"/>
          </w:tcPr>
          <w:p>
            <w:pPr>
              <w:pStyle w:val="sizes, TMurgentNormal"/>
            </w:pPr>
            <w:r>
              <w:rPr>
                <w:rStyle w:val="sizes, TMurgentNormal"/>
              </w:rPr>
              <w:t>11,496</w:t>
            </w:r>
          </w:p>
        </w:tc>
        <w:tc>
          <w:tcPr>
            <w:tcW w:type="auto"/>
          </w:tcPr>
          <w:p>
            <w:pPr>
              <w:pStyle w:val="sizes, TMurgentNormal"/>
            </w:pPr>
            <w:r>
              <w:rPr>
                <w:rStyle w:val="sizes, TMurgentNormal"/>
              </w:rPr>
              <w:t>5.66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497</w:t>
            </w:r>
          </w:p>
        </w:tc>
        <w:tc>
          <w:tcPr>
            <w:tcW w:w="900" w:type="dxa"/>
          </w:tcPr>
          <w:p>
            <w:pPr>
              <w:pStyle w:val="TMurgentNormal"/>
            </w:pPr>
            <w:r>
              <w:rPr>
                <w:rStyle w:val="TMurgentNormal"/>
              </w:rPr>
              <w:t>776</w:t>
            </w:r>
          </w:p>
        </w:tc>
        <w:tc>
          <w:tcPr>
            <w:tcW w:w="1500" w:type="dxa"/>
          </w:tcPr>
          <w:p>
            <w:pPr>
              <w:pStyle w:val="TMurgentNormal"/>
            </w:pPr>
            <w:r>
              <w:rPr>
                <w:rStyle w:val="TMurgentNormal"/>
              </w:rPr>
              <w:t>1.56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38,777</w:t>
            </w:r>
          </w:p>
        </w:tc>
        <w:tc>
          <w:tcPr>
            <w:tcW w:w="900" w:type="dxa"/>
          </w:tcPr>
          <w:p>
            <w:pPr>
              <w:pStyle w:val="TMurgentNormal"/>
            </w:pPr>
            <w:r>
              <w:rPr>
                <w:rStyle w:val="TMurgentNormal"/>
              </w:rPr>
              <w:t>38,777</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ExplorerBars: 0</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28</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r>
          </w:p>
        </w:tc>
        <w:tc>
          <w:tcPr>
            <w:tcW w:w="500" w:type="dxa"/>
          </w:tcPr>
          <w:p>
            <w:pPr>
              <w:pStyle w:val="TMurgentNormal"/>
            </w:pPr>
            <w:r>
              <w:rPr>
                <w:rStyle w:val="TMurgentNormal"/>
              </w:rPr>
              <w:t/>
            </w:r>
          </w:p>
        </w:tc>
        <w:tc>
          <w:tcPr>
            <w:tcW w:w="3500" w:type="dxa"/>
          </w:tcPr>
          <w:p>
            <w:pPr>
              <w:pStyle w:val="TMurgentNormal"/>
            </w:pPr>
            <w:r>
              <w:rPr>
                <w:rStyle w:val="TMurgentNormal"/>
              </w:rPr>
              <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Root/VFS/ProgramFilesX86/Acro%20Software/CutePDF%20Writer/CPWSave.exe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Root/VFS/ProgramFilesX86/Acro%20Software/CutePDF%20Writer/uninscpw.exe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Root/VFS/ProgramFilesX86/GPLGS/gswin32c.exe</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None</w:t>
            </w:r>
          </w:p>
        </w:tc>
        <w:tc>
          <w:tcPr>
            <w:tcW w:w="2500" w:type="dxa"/>
          </w:tcPr>
          <w:p>
            <w:pPr>
              <w:pStyle w:val="TMurgentNormal"/>
            </w:pPr>
            <w:r>
              <w:rPr>
                <w:rStyle w:val="TMurgentNormal"/>
              </w:rPr>
              <w:t> </w:t>
            </w:r>
          </w:p>
        </w:tc>
        <w:tc>
          <w:tcPr>
            <w:tcW w:w="3100" w:type="dxa"/>
          </w:tcPr>
          <w:p>
            <w:pPr>
              <w:pStyle w:val="TMurgentNormal"/>
            </w:pPr>
            <w:r>
              <w:rPr>
                <w:rStyle w:val="TMurgentNormal"/>
              </w:rPr>
              <w:t> </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None</w:t>
            </w:r>
          </w:p>
        </w:tc>
        <w:tc>
          <w:tcPr>
            <w:tcW w:w="3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Name: </w:t>
            </w:r>
          </w:p>
        </w:tc>
        <w:tc>
          <w:tcPr>
            <w:tcW w:w="6100" w:type="dxa"/>
          </w:tcPr>
          <w:p>
            <w:pPr>
              <w:pStyle w:val="TMurgentNormal"/>
            </w:pPr>
            <w:r>
              <w:rPr>
                <w:rStyle w:val="TMurgentNormal"/>
              </w:rPr>
              <w:t xml:space="preserve">InterfaceIID: {3050F3EE-98B5-11CF-BB82-00AA00BDCE0B}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DispHTMLStyleSheetRule</w:t>
            </w:r>
          </w:p>
        </w:tc>
        <w:tc>
          <w:tcPr>
            <w:tcW w:w="6100" w:type="dxa"/>
          </w:tcPr>
          <w:p>
            <w:pPr>
              <w:pStyle w:val="TMurgentNormal"/>
            </w:pPr>
            <w:r>
              <w:rPr>
                <w:rStyle w:val="TMurgentNormal"/>
              </w:rPr>
              <w:t xml:space="preserve">InterfaceIID: {3050F50E-98B5-11CF-BB82-00AA00BDCE0B}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DispHTMLStyleSheetRulesCollection</w:t>
            </w:r>
          </w:p>
        </w:tc>
        <w:tc>
          <w:tcPr>
            <w:tcW w:w="6100" w:type="dxa"/>
          </w:tcPr>
          <w:p>
            <w:pPr>
              <w:pStyle w:val="TMurgentNormal"/>
            </w:pPr>
            <w:r>
              <w:rPr>
                <w:rStyle w:val="TMurgentNormal"/>
              </w:rPr>
              <w:t xml:space="preserve">InterfaceIID: {3050F52F-98B5-11CF-BB82-00AA00BDCE0B}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DispHTMLDocumentCompatibleInfo</w:t>
            </w:r>
          </w:p>
        </w:tc>
        <w:tc>
          <w:tcPr>
            <w:tcW w:w="6100" w:type="dxa"/>
          </w:tcPr>
          <w:p>
            <w:pPr>
              <w:pStyle w:val="TMurgentNormal"/>
            </w:pPr>
            <w:r>
              <w:rPr>
                <w:rStyle w:val="TMurgentNormal"/>
              </w:rPr>
              <w:t xml:space="preserve">InterfaceIID: {3050F53E-98B5-11CF-BB82-00AA00BDCE0B}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DispHTMLDocumentCompatibleInfoCollection</w:t>
            </w:r>
          </w:p>
        </w:tc>
        <w:tc>
          <w:tcPr>
            <w:tcW w:w="6100" w:type="dxa"/>
          </w:tcPr>
          <w:p>
            <w:pPr>
              <w:pStyle w:val="TMurgentNormal"/>
            </w:pPr>
            <w:r>
              <w:rPr>
                <w:rStyle w:val="TMurgentNormal"/>
              </w:rPr>
              <w:t xml:space="preserve">InterfaceIID: {3050F53F-98B5-11CF-BB82-00AA00BDCE0B}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DispHTMLStyleSheetPage</w:t>
            </w:r>
          </w:p>
        </w:tc>
        <w:tc>
          <w:tcPr>
            <w:tcW w:w="6100" w:type="dxa"/>
          </w:tcPr>
          <w:p>
            <w:pPr>
              <w:pStyle w:val="TMurgentNormal"/>
            </w:pPr>
            <w:r>
              <w:rPr>
                <w:rStyle w:val="TMurgentNormal"/>
              </w:rPr>
              <w:t xml:space="preserve">InterfaceIID: {3050F540-98B5-11CF-BB82-00AA00BDCE0B}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DispHTMLStyleSheetPagesCollection</w:t>
            </w:r>
          </w:p>
        </w:tc>
        <w:tc>
          <w:tcPr>
            <w:tcW w:w="6100" w:type="dxa"/>
          </w:tcPr>
          <w:p>
            <w:pPr>
              <w:pStyle w:val="TMurgentNormal"/>
            </w:pPr>
            <w:r>
              <w:rPr>
                <w:rStyle w:val="TMurgentNormal"/>
              </w:rPr>
              <w:t xml:space="preserve">InterfaceIID: {3050F543-98B5-11CF-BB82-00AA00BDCE0B}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DispHTMLStyleSheetsCollection</w:t>
            </w:r>
          </w:p>
        </w:tc>
        <w:tc>
          <w:tcPr>
            <w:tcW w:w="6100" w:type="dxa"/>
          </w:tcPr>
          <w:p>
            <w:pPr>
              <w:pStyle w:val="TMurgentNormal"/>
            </w:pPr>
            <w:r>
              <w:rPr>
                <w:rStyle w:val="TMurgentNormal"/>
              </w:rPr>
              <w:t xml:space="preserve">InterfaceIID: {3050F547-98B5-11CF-BB82-00AA00BDCE0B}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DispHTMLHistory</w:t>
            </w:r>
          </w:p>
        </w:tc>
        <w:tc>
          <w:tcPr>
            <w:tcW w:w="6100" w:type="dxa"/>
          </w:tcPr>
          <w:p>
            <w:pPr>
              <w:pStyle w:val="TMurgentNormal"/>
            </w:pPr>
            <w:r>
              <w:rPr>
                <w:rStyle w:val="TMurgentNormal"/>
              </w:rPr>
              <w:t xml:space="preserve">InterfaceIID: {3050F549-98B5-11CF-BB82-00AA00BDCE0B}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DispCPlugins</w:t>
            </w:r>
          </w:p>
        </w:tc>
        <w:tc>
          <w:tcPr>
            <w:tcW w:w="6100" w:type="dxa"/>
          </w:tcPr>
          <w:p>
            <w:pPr>
              <w:pStyle w:val="TMurgentNormal"/>
            </w:pPr>
            <w:r>
              <w:rPr>
                <w:rStyle w:val="TMurgentNormal"/>
              </w:rPr>
              <w:t xml:space="preserve">InterfaceIID: {3050F54A-98B5-11CF-BB82-00AA00BDCE0B}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DispHTMLNavigator</w:t>
            </w:r>
          </w:p>
        </w:tc>
        <w:tc>
          <w:tcPr>
            <w:tcW w:w="6100" w:type="dxa"/>
          </w:tcPr>
          <w:p>
            <w:pPr>
              <w:pStyle w:val="TMurgentNormal"/>
            </w:pPr>
            <w:r>
              <w:rPr>
                <w:rStyle w:val="TMurgentNormal"/>
              </w:rPr>
              <w:t xml:space="preserve">InterfaceIID: {3050F54C-98B5-11CF-BB82-00AA00BDCE0B}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DispHTMLLocation</w:t>
            </w:r>
          </w:p>
        </w:tc>
        <w:tc>
          <w:tcPr>
            <w:tcW w:w="6100" w:type="dxa"/>
          </w:tcPr>
          <w:p>
            <w:pPr>
              <w:pStyle w:val="TMurgentNormal"/>
            </w:pPr>
            <w:r>
              <w:rPr>
                <w:rStyle w:val="TMurgentNormal"/>
              </w:rPr>
              <w:t xml:space="preserve">InterfaceIID: {3050F54E-98B5-11CF-BB82-00AA00BDCE0B}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DispHTMLNamespace</w:t>
            </w:r>
          </w:p>
        </w:tc>
        <w:tc>
          <w:tcPr>
            <w:tcW w:w="6100" w:type="dxa"/>
          </w:tcPr>
          <w:p>
            <w:pPr>
              <w:pStyle w:val="TMurgentNormal"/>
            </w:pPr>
            <w:r>
              <w:rPr>
                <w:rStyle w:val="TMurgentNormal"/>
              </w:rPr>
              <w:t xml:space="preserve">InterfaceIID: {3050F54F-98B5-11CF-BB82-00AA00BDCE0B}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DispHTMLNamespaceCollection</w:t>
            </w:r>
          </w:p>
        </w:tc>
        <w:tc>
          <w:tcPr>
            <w:tcW w:w="6100" w:type="dxa"/>
          </w:tcPr>
          <w:p>
            <w:pPr>
              <w:pStyle w:val="TMurgentNormal"/>
            </w:pPr>
            <w:r>
              <w:rPr>
                <w:rStyle w:val="TMurgentNormal"/>
              </w:rPr>
              <w:t xml:space="preserve">InterfaceIID: {3050F550-98B5-11CF-BB82-00AA00BDCE0B}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DispHTMLUrnCollection</w:t>
            </w:r>
          </w:p>
        </w:tc>
        <w:tc>
          <w:tcPr>
            <w:tcW w:w="6100" w:type="dxa"/>
          </w:tcPr>
          <w:p>
            <w:pPr>
              <w:pStyle w:val="TMurgentNormal"/>
            </w:pPr>
            <w:r>
              <w:rPr>
                <w:rStyle w:val="TMurgentNormal"/>
              </w:rPr>
              <w:t xml:space="preserve">InterfaceIID: {3050F551-98B5-11CF-BB82-00AA00BDCE0B}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DispHTMLXMLHttpRequest</w:t>
            </w:r>
          </w:p>
        </w:tc>
        <w:tc>
          <w:tcPr>
            <w:tcW w:w="6100" w:type="dxa"/>
          </w:tcPr>
          <w:p>
            <w:pPr>
              <w:pStyle w:val="TMurgentNormal"/>
            </w:pPr>
            <w:r>
              <w:rPr>
                <w:rStyle w:val="TMurgentNormal"/>
              </w:rPr>
              <w:t xml:space="preserve">InterfaceIID: {3050F596-98B5-11CF-BB82-00AA00BDCE0B}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DispHTMLWndSelectElement</w:t>
            </w:r>
          </w:p>
        </w:tc>
        <w:tc>
          <w:tcPr>
            <w:tcW w:w="6100" w:type="dxa"/>
          </w:tcPr>
          <w:p>
            <w:pPr>
              <w:pStyle w:val="TMurgentNormal"/>
            </w:pPr>
            <w:r>
              <w:rPr>
                <w:rStyle w:val="TMurgentNormal"/>
              </w:rPr>
              <w:t xml:space="preserve">InterfaceIID: {3050F597-98B5-11CF-BB82-00AA00BDCE0B}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DispHTMLWndOptionElement</w:t>
            </w:r>
          </w:p>
        </w:tc>
        <w:tc>
          <w:tcPr>
            <w:tcW w:w="6100" w:type="dxa"/>
          </w:tcPr>
          <w:p>
            <w:pPr>
              <w:pStyle w:val="TMurgentNormal"/>
            </w:pPr>
            <w:r>
              <w:rPr>
                <w:rStyle w:val="TMurgentNormal"/>
              </w:rPr>
              <w:t xml:space="preserve">InterfaceIID: {3050F598-98B5-11CF-BB82-00AA00BDCE0B}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DispXDomainRequest</w:t>
            </w:r>
          </w:p>
        </w:tc>
        <w:tc>
          <w:tcPr>
            <w:tcW w:w="6100" w:type="dxa"/>
          </w:tcPr>
          <w:p>
            <w:pPr>
              <w:pStyle w:val="TMurgentNormal"/>
            </w:pPr>
            <w:r>
              <w:rPr>
                <w:rStyle w:val="TMurgentNormal"/>
              </w:rPr>
              <w:t xml:space="preserve">InterfaceIID: {3050F599-98B5-11CF-BB82-00AA00BDCE0B}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DispStaticNodeList</w:t>
            </w:r>
          </w:p>
        </w:tc>
        <w:tc>
          <w:tcPr>
            <w:tcW w:w="6100" w:type="dxa"/>
          </w:tcPr>
          <w:p>
            <w:pPr>
              <w:pStyle w:val="TMurgentNormal"/>
            </w:pPr>
            <w:r>
              <w:rPr>
                <w:rStyle w:val="TMurgentNormal"/>
              </w:rPr>
              <w:t xml:space="preserve">InterfaceIID: {3050F59B-98B5-11CF-BB82-00AA00BDCE0B}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HTMLElementEvents3</w:t>
            </w:r>
          </w:p>
        </w:tc>
        <w:tc>
          <w:tcPr>
            <w:tcW w:w="6100" w:type="dxa"/>
          </w:tcPr>
          <w:p>
            <w:pPr>
              <w:pStyle w:val="TMurgentNormal"/>
            </w:pPr>
            <w:r>
              <w:rPr>
                <w:rStyle w:val="TMurgentNormal"/>
              </w:rPr>
              <w:t xml:space="preserve">InterfaceIID: {3050F59F-98B5-11CF-BB82-00AA00BDCE0B}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HTMLWindowEvents3</w:t>
            </w:r>
          </w:p>
        </w:tc>
        <w:tc>
          <w:tcPr>
            <w:tcW w:w="6100" w:type="dxa"/>
          </w:tcPr>
          <w:p>
            <w:pPr>
              <w:pStyle w:val="TMurgentNormal"/>
            </w:pPr>
            <w:r>
              <w:rPr>
                <w:rStyle w:val="TMurgentNormal"/>
              </w:rPr>
              <w:t xml:space="preserve">InterfaceIID: {3050F5A1-98B5-11CF-BB82-00AA00BDCE0B}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IHTMLXMLHttpRequest</w:t>
            </w:r>
          </w:p>
        </w:tc>
        <w:tc>
          <w:tcPr>
            <w:tcW w:w="6100" w:type="dxa"/>
          </w:tcPr>
          <w:p>
            <w:pPr>
              <w:pStyle w:val="TMurgentNormal"/>
            </w:pPr>
            <w:r>
              <w:rPr>
                <w:rStyle w:val="TMurgentNormal"/>
              </w:rPr>
              <w:t xml:space="preserve">InterfaceIID: {3051040A-98B5-11CF-BB82-00AA00BDCE0B}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IHTMLXMLHttpRequestFactory</w:t>
            </w:r>
          </w:p>
        </w:tc>
        <w:tc>
          <w:tcPr>
            <w:tcW w:w="6100" w:type="dxa"/>
          </w:tcPr>
          <w:p>
            <w:pPr>
              <w:pStyle w:val="TMurgentNormal"/>
            </w:pPr>
            <w:r>
              <w:rPr>
                <w:rStyle w:val="TMurgentNormal"/>
              </w:rPr>
              <w:t xml:space="preserve">InterfaceIID: {3051040C-98B5-11CF-BB82-00AA00BDCE0B}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IHTMLWindow5</w:t>
            </w:r>
          </w:p>
        </w:tc>
        <w:tc>
          <w:tcPr>
            <w:tcW w:w="6100" w:type="dxa"/>
          </w:tcPr>
          <w:p>
            <w:pPr>
              <w:pStyle w:val="TMurgentNormal"/>
            </w:pPr>
            <w:r>
              <w:rPr>
                <w:rStyle w:val="TMurgentNormal"/>
              </w:rPr>
              <w:t xml:space="preserve">InterfaceIID: {3051040E-98B5-11CF-BB82-00AA00BDCE0B}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IHTMLXDomainRequestFactory</w:t>
            </w:r>
          </w:p>
        </w:tc>
        <w:tc>
          <w:tcPr>
            <w:tcW w:w="6100" w:type="dxa"/>
          </w:tcPr>
          <w:p>
            <w:pPr>
              <w:pStyle w:val="TMurgentNormal"/>
            </w:pPr>
            <w:r>
              <w:rPr>
                <w:rStyle w:val="TMurgentNormal"/>
              </w:rPr>
              <w:t xml:space="preserve">InterfaceIID: {30510456-98B5-11CF-BB82-00AA00BDCE0B}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IHTMLEmbedElement2</w:t>
            </w:r>
          </w:p>
        </w:tc>
        <w:tc>
          <w:tcPr>
            <w:tcW w:w="6100" w:type="dxa"/>
          </w:tcPr>
          <w:p>
            <w:pPr>
              <w:pStyle w:val="TMurgentNormal"/>
            </w:pPr>
            <w:r>
              <w:rPr>
                <w:rStyle w:val="TMurgentNormal"/>
              </w:rPr>
              <w:t xml:space="preserve">InterfaceIID: {30510493-98B5-11CF-BB82-00AA00BDCE0B}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HTMLXMLHttpRequestEvents</w:t>
            </w:r>
          </w:p>
        </w:tc>
        <w:tc>
          <w:tcPr>
            <w:tcW w:w="6100" w:type="dxa"/>
          </w:tcPr>
          <w:p>
            <w:pPr>
              <w:pStyle w:val="TMurgentNormal"/>
            </w:pPr>
            <w:r>
              <w:rPr>
                <w:rStyle w:val="TMurgentNormal"/>
              </w:rPr>
              <w:t xml:space="preserve">InterfaceIID: {30510498-98B5-11CF-BB82-00AA00BDCE0B}</w:t>
              <w:br/>
              <w:t xml:space="preserve">x86</w:t>
              <w:br/>
              <w:t xml:space="preserve">Usage: </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8dea1609d6f54d0f">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889ccc45ca614de9">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r>
          </w:p>
        </w:tc>
        <w:tc>
          <w:tcPr>
            <w:tcW w:w="46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Root/VFS/AppVSystem32Spool/drivers/w32x86/PSCRIPT5.DLL</w:t>
            </w:r>
          </w:p>
        </w:tc>
      </w:tr>
      <w:tr>
        <w:trPr/>
        <w:tc>
          <w:tcPr>
            <w:tcW w:w="5000" w:type="dxa"/>
          </w:tcPr>
          <w:p>
            <w:pPr>
              <w:pStyle w:val="TMurgentNormal"/>
            </w:pPr>
            <w:r>
              <w:rPr>
                <w:rStyle w:val="TMurgentNormal"/>
              </w:rPr>
              <w:t>Root/VFS/AppVSystem32Spool/drivers/w32x86/PS5UI.DLL</w:t>
            </w:r>
          </w:p>
        </w:tc>
      </w:tr>
    </w:tbl>
    <w:p>
      <w:pPr>
        <w:pStyle w:val="TMurgentNormal"/>
      </w:pPr>
      <w:r>
        <w:rPr>
          <w:rStyle w:val="TMurgentNormal"/>
        </w:rPr>
        <w:t>2 Driver files cannot be virtualized. If the functionality of this driver is required, you must extract it and install the driver natively.</w:t>
      </w:r>
    </w:p>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No ODBC detected.</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No ODBC detected.</w:t>
            </w:r>
          </w:p>
        </w:tc>
        <w:tc>
          <w:tcPr>
            <w:tcW w:w="45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0</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Package contains at least one driver. Drivers cannot be virtualized. If the functionality of this driver is required, you must extract it and install the driver natively.</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False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PTM_CutePDF_x86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610c7b4e1b444e2b"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25a06c182f2944b3" /><Relationship Type="http://schemas.openxmlformats.org/officeDocument/2006/relationships/hyperlink" Target="http://www.tmurgent.com/appv/index.php/resources/tools/167-visual-studio-runtime-versions-chart" TargetMode="External" Id="R8dea1609d6f54d0f" /><Relationship Type="http://schemas.openxmlformats.org/officeDocument/2006/relationships/hyperlink" Target="http://www.tmurgent.com/appv/index.php/resources/tools/168-msxml-runtime-versions-chart" TargetMode="External" Id="R889ccc45ca614de9" /></Relationships>
</file>